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D2" w:rsidRPr="00880DD4" w:rsidRDefault="00880DD4" w:rsidP="00EA15AB">
      <w:pPr>
        <w:pStyle w:val="1"/>
        <w:rPr>
          <w:color w:val="auto"/>
        </w:rPr>
      </w:pPr>
      <w:r>
        <w:t xml:space="preserve">                                                                              </w:t>
      </w:r>
      <w:r w:rsidRPr="00880DD4">
        <w:rPr>
          <w:color w:val="auto"/>
        </w:rPr>
        <w:t xml:space="preserve">   </w:t>
      </w:r>
      <w:r w:rsidR="00490C02" w:rsidRPr="00880DD4">
        <w:rPr>
          <w:color w:val="auto"/>
        </w:rPr>
        <w:t>АКТ</w:t>
      </w:r>
    </w:p>
    <w:p w:rsidR="00767AD1" w:rsidRPr="004055DC" w:rsidRDefault="00765B9C" w:rsidP="00767AD1">
      <w:pPr>
        <w:jc w:val="center"/>
        <w:rPr>
          <w:b/>
        </w:rPr>
      </w:pPr>
      <w:r>
        <w:rPr>
          <w:b/>
        </w:rPr>
        <w:t>Диагностики оборудования</w:t>
      </w:r>
    </w:p>
    <w:p w:rsidR="003877BB" w:rsidRDefault="0001590E" w:rsidP="00767AD1">
      <w:pPr>
        <w:jc w:val="center"/>
      </w:pPr>
      <w:proofErr w:type="gramStart"/>
      <w:r>
        <w:t>(</w:t>
      </w:r>
      <w:r w:rsidR="003F656A">
        <w:t>к</w:t>
      </w:r>
      <w:r w:rsidR="000962B9">
        <w:t>от.</w:t>
      </w:r>
      <w:proofErr w:type="gramEnd"/>
      <w:r w:rsidR="000962B9">
        <w:t xml:space="preserve"> </w:t>
      </w:r>
      <w:proofErr w:type="gramStart"/>
      <w:r w:rsidR="000962B9">
        <w:t>ВАЗ</w:t>
      </w:r>
      <w:r w:rsidRPr="003C4A98">
        <w:t xml:space="preserve"> </w:t>
      </w:r>
      <w:r w:rsidR="00C04251">
        <w:t xml:space="preserve"> </w:t>
      </w:r>
      <w:r w:rsidRPr="003C4A98">
        <w:t>г Донецк,</w:t>
      </w:r>
      <w:r w:rsidR="005C021F">
        <w:t xml:space="preserve"> ул. Баумана 10-А</w:t>
      </w:r>
      <w:r w:rsidR="003F656A">
        <w:t>)</w:t>
      </w:r>
      <w:proofErr w:type="gramEnd"/>
    </w:p>
    <w:p w:rsidR="006F1359" w:rsidRDefault="006F1359" w:rsidP="00767AD1">
      <w:pPr>
        <w:jc w:val="center"/>
      </w:pPr>
    </w:p>
    <w:p w:rsidR="00B40227" w:rsidRDefault="00726520" w:rsidP="003F656A">
      <w:pPr>
        <w:jc w:val="both"/>
      </w:pPr>
      <w:r w:rsidRPr="005C021F">
        <w:rPr>
          <w:b/>
        </w:rPr>
        <w:t>23.01.2018</w:t>
      </w:r>
      <w:r w:rsidR="00FA1DA0" w:rsidRPr="005C021F">
        <w:rPr>
          <w:b/>
        </w:rPr>
        <w:t>г</w:t>
      </w:r>
      <w:r w:rsidR="00396E90">
        <w:t>.</w:t>
      </w:r>
      <w:r w:rsidR="00235126">
        <w:t xml:space="preserve"> Проведено</w:t>
      </w:r>
      <w:r w:rsidR="00767AD1">
        <w:t xml:space="preserve"> </w:t>
      </w:r>
      <w:r w:rsidR="003F656A">
        <w:t xml:space="preserve">вибрационное обследование </w:t>
      </w:r>
      <w:r w:rsidR="00235126">
        <w:t>котельного оборудования.</w:t>
      </w:r>
    </w:p>
    <w:p w:rsidR="00287C4F" w:rsidRPr="00175945" w:rsidRDefault="00287C4F" w:rsidP="00287C4F">
      <w:pPr>
        <w:ind w:firstLine="709"/>
        <w:jc w:val="both"/>
        <w:rPr>
          <w:bCs/>
          <w:kern w:val="24"/>
        </w:rPr>
      </w:pPr>
      <w:r w:rsidRPr="00175945">
        <w:rPr>
          <w:bCs/>
          <w:kern w:val="24"/>
        </w:rPr>
        <w:t>Оценка технического состояния проводилась пут</w:t>
      </w:r>
      <w:r>
        <w:rPr>
          <w:bCs/>
          <w:kern w:val="24"/>
        </w:rPr>
        <w:t>ё</w:t>
      </w:r>
      <w:r w:rsidRPr="00175945">
        <w:rPr>
          <w:bCs/>
          <w:kern w:val="24"/>
        </w:rPr>
        <w:t xml:space="preserve">м измерения уровня вибрации и сравнения с нормативными значениями, регламентированными </w:t>
      </w:r>
      <w:r w:rsidRPr="00175945">
        <w:rPr>
          <w:kern w:val="2"/>
        </w:rPr>
        <w:t xml:space="preserve">ГОСТ ИСО 10816-1-97 «Вибрация. Контроль состояния машин по результатам измерений вибрации на </w:t>
      </w:r>
      <w:proofErr w:type="spellStart"/>
      <w:r w:rsidRPr="00175945">
        <w:rPr>
          <w:kern w:val="2"/>
        </w:rPr>
        <w:t>невращающихся</w:t>
      </w:r>
      <w:proofErr w:type="spellEnd"/>
      <w:r w:rsidRPr="00175945">
        <w:rPr>
          <w:kern w:val="2"/>
        </w:rPr>
        <w:t xml:space="preserve"> частях»</w:t>
      </w:r>
      <w:r w:rsidRPr="00175945">
        <w:rPr>
          <w:bCs/>
          <w:kern w:val="24"/>
        </w:rPr>
        <w:t xml:space="preserve"> и ГОСТ 20815-93 «Машины электрические вращающиеся. Механическая вибрация некоторых видов машин с высотой оси вращения </w:t>
      </w:r>
      <w:smartTag w:uri="urn:schemas-microsoft-com:office:smarttags" w:element="metricconverter">
        <w:smartTagPr>
          <w:attr w:name="ProductID" w:val="56 мм"/>
        </w:smartTagPr>
        <w:r w:rsidRPr="00175945">
          <w:rPr>
            <w:bCs/>
            <w:kern w:val="24"/>
          </w:rPr>
          <w:t>56 мм</w:t>
        </w:r>
      </w:smartTag>
      <w:r w:rsidRPr="00175945">
        <w:rPr>
          <w:bCs/>
          <w:kern w:val="24"/>
        </w:rPr>
        <w:t xml:space="preserve"> и выше. Измерение, оценка и допустимые значения». </w:t>
      </w:r>
    </w:p>
    <w:p w:rsidR="00287C4F" w:rsidRPr="00175945" w:rsidRDefault="00287C4F" w:rsidP="00287C4F">
      <w:pPr>
        <w:pStyle w:val="a7"/>
        <w:ind w:firstLine="709"/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>Значения виброскорости, определяющие границы состояний:</w:t>
      </w:r>
    </w:p>
    <w:p w:rsidR="00287C4F" w:rsidRPr="00175945" w:rsidRDefault="00287C4F" w:rsidP="00287C4F">
      <w:pPr>
        <w:pStyle w:val="a7"/>
        <w:numPr>
          <w:ilvl w:val="0"/>
          <w:numId w:val="2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 xml:space="preserve">до 4,5 мм/с – функционирование без ограничения сроков; </w:t>
      </w:r>
    </w:p>
    <w:p w:rsidR="00287C4F" w:rsidRPr="00175945" w:rsidRDefault="00287C4F" w:rsidP="00287C4F">
      <w:pPr>
        <w:pStyle w:val="a7"/>
        <w:numPr>
          <w:ilvl w:val="0"/>
          <w:numId w:val="2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>4,5…7,1 мм/с – функционирование в ограниченном периоде времени;</w:t>
      </w:r>
    </w:p>
    <w:p w:rsidR="00287C4F" w:rsidRPr="00175945" w:rsidRDefault="00287C4F" w:rsidP="00287C4F">
      <w:pPr>
        <w:pStyle w:val="a7"/>
        <w:numPr>
          <w:ilvl w:val="0"/>
          <w:numId w:val="2"/>
        </w:numPr>
        <w:contextualSpacing/>
        <w:jc w:val="both"/>
        <w:rPr>
          <w:kern w:val="24"/>
          <w:sz w:val="24"/>
        </w:rPr>
      </w:pPr>
      <w:r w:rsidRPr="00175945">
        <w:rPr>
          <w:kern w:val="24"/>
          <w:sz w:val="24"/>
        </w:rPr>
        <w:t xml:space="preserve">свыше 7,1 мм/с – возможны повреждения машины. </w:t>
      </w:r>
    </w:p>
    <w:p w:rsidR="006F1359" w:rsidRDefault="00287C4F" w:rsidP="00287C4F">
      <w:pPr>
        <w:suppressAutoHyphens/>
        <w:ind w:firstLine="709"/>
        <w:jc w:val="both"/>
        <w:outlineLvl w:val="0"/>
        <w:rPr>
          <w:kern w:val="24"/>
        </w:rPr>
      </w:pPr>
      <w:r w:rsidRPr="00175945">
        <w:rPr>
          <w:kern w:val="24"/>
        </w:rPr>
        <w:t xml:space="preserve">Измерения параметров вибрации проводилось в вертикальном, горизонтальном и осевом направлениях, при помощи анализатора вибрации 795М107 и пьезоэлектрического датчика С11. Крепление датчика осуществлялось при помощи магнита. Выполнены измерения общих параметров и частотной формы вибрационного сигнала. Контролируемый частотный диапазон 10…1000 Гц и 10…5000 Гц. </w:t>
      </w:r>
    </w:p>
    <w:p w:rsidR="000C53AC" w:rsidRDefault="000C53AC" w:rsidP="00287C4F">
      <w:pPr>
        <w:suppressAutoHyphens/>
        <w:ind w:firstLine="709"/>
        <w:jc w:val="both"/>
        <w:outlineLvl w:val="0"/>
        <w:rPr>
          <w:kern w:val="24"/>
        </w:rPr>
      </w:pPr>
    </w:p>
    <w:p w:rsidR="0040787A" w:rsidRDefault="0040787A" w:rsidP="0040787A">
      <w:pPr>
        <w:ind w:firstLine="567"/>
        <w:rPr>
          <w:b/>
          <w:u w:val="single"/>
        </w:rPr>
      </w:pPr>
      <w:r w:rsidRPr="000C53AC">
        <w:rPr>
          <w:b/>
          <w:u w:val="single"/>
        </w:rPr>
        <w:t xml:space="preserve">Сетевой насос №4 </w:t>
      </w:r>
      <w:r w:rsidR="000C53AC" w:rsidRPr="000C53AC">
        <w:rPr>
          <w:b/>
          <w:u w:val="single"/>
        </w:rPr>
        <w:t xml:space="preserve"> Д200/90 (2900об/мин)</w:t>
      </w:r>
    </w:p>
    <w:p w:rsidR="000C53AC" w:rsidRDefault="000C53AC" w:rsidP="0040787A">
      <w:pPr>
        <w:ind w:firstLine="567"/>
        <w:rPr>
          <w:b/>
          <w:u w:val="single"/>
        </w:rPr>
      </w:pPr>
    </w:p>
    <w:p w:rsidR="000C53AC" w:rsidRPr="000C53AC" w:rsidRDefault="000C53AC" w:rsidP="0040787A">
      <w:pPr>
        <w:ind w:firstLine="567"/>
        <w:rPr>
          <w:b/>
          <w:u w:val="single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40787A" w:rsidRPr="00AE29EC" w:rsidTr="00CB0717">
        <w:tc>
          <w:tcPr>
            <w:tcW w:w="10847" w:type="dxa"/>
            <w:vAlign w:val="center"/>
          </w:tcPr>
          <w:p w:rsidR="0040787A" w:rsidRPr="00AE29EC" w:rsidRDefault="0040787A" w:rsidP="00CB0717">
            <w:pPr>
              <w:suppressAutoHyphens/>
              <w:jc w:val="center"/>
              <w:outlineLvl w:val="0"/>
              <w:rPr>
                <w:kern w:val="24"/>
              </w:rPr>
            </w:pPr>
            <w:r w:rsidRPr="00AE29EC">
              <w:object w:dxaOrig="3636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5pt;height:116.25pt" o:ole="">
                  <v:imagedata r:id="rId7" o:title=""/>
                </v:shape>
                <o:OLEObject Type="Embed" ProgID="PBrush" ShapeID="_x0000_i1025" DrawAspect="Content" ObjectID="_1581426480" r:id="rId8"/>
              </w:object>
            </w:r>
          </w:p>
        </w:tc>
      </w:tr>
    </w:tbl>
    <w:p w:rsidR="0040787A" w:rsidRPr="00AE29EC" w:rsidRDefault="0040787A" w:rsidP="0040787A">
      <w:pPr>
        <w:jc w:val="center"/>
        <w:outlineLvl w:val="0"/>
        <w:rPr>
          <w:kern w:val="24"/>
        </w:rPr>
      </w:pPr>
    </w:p>
    <w:p w:rsidR="0040787A" w:rsidRDefault="0040787A" w:rsidP="0040787A">
      <w:pPr>
        <w:jc w:val="center"/>
        <w:outlineLvl w:val="0"/>
        <w:rPr>
          <w:kern w:val="24"/>
        </w:rPr>
      </w:pPr>
      <w:r w:rsidRPr="00AE29EC">
        <w:rPr>
          <w:kern w:val="24"/>
        </w:rPr>
        <w:t>Рисунок 1 - Расположение точек измерения вибрации насоса</w:t>
      </w:r>
    </w:p>
    <w:p w:rsidR="0040787A" w:rsidRPr="00AE29EC" w:rsidRDefault="0040787A" w:rsidP="0040787A">
      <w:pPr>
        <w:jc w:val="center"/>
        <w:outlineLvl w:val="0"/>
        <w:rPr>
          <w:kern w:val="24"/>
        </w:rPr>
      </w:pPr>
    </w:p>
    <w:p w:rsidR="0040787A" w:rsidRPr="00AE29EC" w:rsidRDefault="0040787A" w:rsidP="0040787A">
      <w:pPr>
        <w:ind w:firstLine="851"/>
        <w:jc w:val="both"/>
        <w:rPr>
          <w:b/>
          <w:u w:val="single"/>
        </w:rPr>
      </w:pPr>
      <w:r w:rsidRPr="00AE29EC">
        <w:rPr>
          <w:b/>
          <w:u w:val="single"/>
        </w:rPr>
        <w:t>Результаты измерений:</w:t>
      </w:r>
    </w:p>
    <w:p w:rsidR="0040787A" w:rsidRPr="00AE29EC" w:rsidRDefault="0040787A" w:rsidP="0040787A">
      <w:pPr>
        <w:ind w:firstLine="851"/>
        <w:jc w:val="both"/>
      </w:pPr>
    </w:p>
    <w:tbl>
      <w:tblPr>
        <w:tblW w:w="4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04"/>
        <w:gridCol w:w="1984"/>
        <w:gridCol w:w="1558"/>
        <w:gridCol w:w="2447"/>
      </w:tblGrid>
      <w:tr w:rsidR="000C53AC" w:rsidRPr="00AE29EC" w:rsidTr="000C53AC">
        <w:trPr>
          <w:jc w:val="center"/>
        </w:trPr>
        <w:tc>
          <w:tcPr>
            <w:tcW w:w="626" w:type="pct"/>
            <w:vMerge w:val="restar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Точка</w:t>
            </w:r>
          </w:p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proofErr w:type="spellStart"/>
            <w:proofErr w:type="gramStart"/>
            <w:r w:rsidRPr="00AE29EC">
              <w:rPr>
                <w:kern w:val="24"/>
              </w:rPr>
              <w:t>измере</w:t>
            </w:r>
            <w:r>
              <w:rPr>
                <w:kern w:val="24"/>
              </w:rPr>
              <w:t>-</w:t>
            </w:r>
            <w:r w:rsidRPr="00AE29EC">
              <w:rPr>
                <w:kern w:val="24"/>
              </w:rPr>
              <w:t>ния</w:t>
            </w:r>
            <w:proofErr w:type="spellEnd"/>
            <w:proofErr w:type="gramEnd"/>
          </w:p>
        </w:tc>
        <w:tc>
          <w:tcPr>
            <w:tcW w:w="2982" w:type="pct"/>
            <w:gridSpan w:val="3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Среднеквадратичное значение виброскорости</w:t>
            </w:r>
          </w:p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(</w:t>
            </w:r>
            <w:proofErr w:type="gramStart"/>
            <w:r w:rsidRPr="00AE29EC">
              <w:rPr>
                <w:kern w:val="24"/>
              </w:rPr>
              <w:t>мм</w:t>
            </w:r>
            <w:proofErr w:type="gramEnd"/>
            <w:r w:rsidRPr="00AE29EC">
              <w:rPr>
                <w:kern w:val="24"/>
              </w:rPr>
              <w:t>/с), для направлений измерения,</w:t>
            </w:r>
          </w:p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частотный диапазон 10…10</w:t>
            </w:r>
            <w:r w:rsidRPr="00AE29EC">
              <w:rPr>
                <w:kern w:val="24"/>
                <w:lang w:val="en-US"/>
              </w:rPr>
              <w:t>0</w:t>
            </w:r>
            <w:r w:rsidRPr="00AE29EC">
              <w:rPr>
                <w:kern w:val="24"/>
              </w:rPr>
              <w:t>0 Гц</w:t>
            </w:r>
          </w:p>
        </w:tc>
        <w:tc>
          <w:tcPr>
            <w:tcW w:w="1391" w:type="pct"/>
            <w:vMerge w:val="restar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proofErr w:type="spellStart"/>
            <w:r w:rsidRPr="00AE29EC">
              <w:rPr>
                <w:kern w:val="24"/>
              </w:rPr>
              <w:t>Виброускорение</w:t>
            </w:r>
            <w:proofErr w:type="spellEnd"/>
          </w:p>
          <w:p w:rsidR="000C53AC" w:rsidRPr="00AE29EC" w:rsidRDefault="000C53AC" w:rsidP="00CB0717">
            <w:pPr>
              <w:jc w:val="center"/>
              <w:outlineLvl w:val="0"/>
              <w:rPr>
                <w:kern w:val="24"/>
                <w:vertAlign w:val="superscript"/>
              </w:rPr>
            </w:pPr>
            <w:proofErr w:type="spellStart"/>
            <w:r w:rsidRPr="00AE29EC">
              <w:rPr>
                <w:kern w:val="24"/>
              </w:rPr>
              <w:t>а</w:t>
            </w:r>
            <w:r w:rsidRPr="00AE29EC">
              <w:rPr>
                <w:kern w:val="24"/>
                <w:vertAlign w:val="subscript"/>
              </w:rPr>
              <w:t>скз</w:t>
            </w:r>
            <w:proofErr w:type="spellEnd"/>
            <w:r w:rsidRPr="00AE29EC">
              <w:rPr>
                <w:kern w:val="24"/>
              </w:rPr>
              <w:t>/</w:t>
            </w:r>
            <w:proofErr w:type="spellStart"/>
            <w:r w:rsidRPr="00AE29EC">
              <w:rPr>
                <w:kern w:val="24"/>
              </w:rPr>
              <w:t>а</w:t>
            </w:r>
            <w:r w:rsidRPr="00AE29EC">
              <w:rPr>
                <w:kern w:val="24"/>
                <w:vertAlign w:val="subscript"/>
              </w:rPr>
              <w:t>пик</w:t>
            </w:r>
            <w:proofErr w:type="spellEnd"/>
            <w:r w:rsidRPr="00AE29EC">
              <w:rPr>
                <w:kern w:val="24"/>
              </w:rPr>
              <w:t>, м/с</w:t>
            </w:r>
            <w:proofErr w:type="gramStart"/>
            <w:r w:rsidRPr="00AE29EC">
              <w:rPr>
                <w:kern w:val="24"/>
                <w:vertAlign w:val="superscript"/>
              </w:rPr>
              <w:t>2</w:t>
            </w:r>
            <w:proofErr w:type="gramEnd"/>
          </w:p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частотный диапазон 10…5000 Гц</w:t>
            </w:r>
          </w:p>
        </w:tc>
      </w:tr>
      <w:tr w:rsidR="000C53AC" w:rsidRPr="00AE29EC" w:rsidTr="000C53AC">
        <w:trPr>
          <w:jc w:val="center"/>
        </w:trPr>
        <w:tc>
          <w:tcPr>
            <w:tcW w:w="626" w:type="pct"/>
            <w:vMerge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</w:p>
        </w:tc>
        <w:tc>
          <w:tcPr>
            <w:tcW w:w="968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Вертикальное</w:t>
            </w:r>
          </w:p>
        </w:tc>
        <w:tc>
          <w:tcPr>
            <w:tcW w:w="1128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Горизонтальное</w:t>
            </w:r>
          </w:p>
        </w:tc>
        <w:tc>
          <w:tcPr>
            <w:tcW w:w="886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Осевое</w:t>
            </w:r>
          </w:p>
        </w:tc>
        <w:tc>
          <w:tcPr>
            <w:tcW w:w="1391" w:type="pct"/>
            <w:vMerge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</w:p>
        </w:tc>
      </w:tr>
      <w:tr w:rsidR="000C53AC" w:rsidRPr="00AE29EC" w:rsidTr="000C53AC">
        <w:trPr>
          <w:jc w:val="center"/>
        </w:trPr>
        <w:tc>
          <w:tcPr>
            <w:tcW w:w="626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1</w:t>
            </w:r>
          </w:p>
        </w:tc>
        <w:tc>
          <w:tcPr>
            <w:tcW w:w="968" w:type="pct"/>
            <w:vAlign w:val="center"/>
          </w:tcPr>
          <w:p w:rsidR="000C53AC" w:rsidRPr="000C53AC" w:rsidRDefault="000C53AC" w:rsidP="000C53AC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0C53AC">
              <w:rPr>
                <w:b/>
                <w:kern w:val="24"/>
                <w:sz w:val="22"/>
                <w:szCs w:val="22"/>
              </w:rPr>
              <w:t>1</w:t>
            </w:r>
            <w:r w:rsidRPr="000C53AC">
              <w:rPr>
                <w:b/>
                <w:kern w:val="24"/>
                <w:sz w:val="22"/>
                <w:szCs w:val="22"/>
                <w:lang w:val="en-US"/>
              </w:rPr>
              <w:t>3</w:t>
            </w:r>
          </w:p>
        </w:tc>
        <w:tc>
          <w:tcPr>
            <w:tcW w:w="1128" w:type="pct"/>
            <w:vAlign w:val="center"/>
          </w:tcPr>
          <w:p w:rsidR="000C53AC" w:rsidRPr="000C53AC" w:rsidRDefault="000C53AC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0C53AC">
              <w:rPr>
                <w:b/>
                <w:kern w:val="24"/>
                <w:sz w:val="22"/>
                <w:szCs w:val="22"/>
              </w:rPr>
              <w:t>8,8</w:t>
            </w:r>
          </w:p>
        </w:tc>
        <w:tc>
          <w:tcPr>
            <w:tcW w:w="886" w:type="pct"/>
            <w:vAlign w:val="center"/>
          </w:tcPr>
          <w:p w:rsidR="000C53AC" w:rsidRPr="000C53AC" w:rsidRDefault="000C53AC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0C53AC">
              <w:rPr>
                <w:b/>
                <w:kern w:val="24"/>
                <w:sz w:val="22"/>
                <w:szCs w:val="22"/>
              </w:rPr>
              <w:t>7,4</w:t>
            </w:r>
          </w:p>
        </w:tc>
        <w:tc>
          <w:tcPr>
            <w:tcW w:w="1391" w:type="pct"/>
            <w:vAlign w:val="center"/>
          </w:tcPr>
          <w:p w:rsidR="000C53AC" w:rsidRPr="00A34317" w:rsidRDefault="000C53AC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31/70</w:t>
            </w:r>
          </w:p>
        </w:tc>
      </w:tr>
      <w:tr w:rsidR="000C53AC" w:rsidRPr="00AE29EC" w:rsidTr="000C53AC">
        <w:trPr>
          <w:jc w:val="center"/>
        </w:trPr>
        <w:tc>
          <w:tcPr>
            <w:tcW w:w="626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2</w:t>
            </w:r>
          </w:p>
        </w:tc>
        <w:tc>
          <w:tcPr>
            <w:tcW w:w="968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1128" w:type="pct"/>
            <w:vAlign w:val="center"/>
          </w:tcPr>
          <w:p w:rsidR="000C53AC" w:rsidRPr="000C53AC" w:rsidRDefault="000C53AC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0C53AC">
              <w:rPr>
                <w:b/>
                <w:kern w:val="24"/>
                <w:sz w:val="22"/>
                <w:szCs w:val="22"/>
              </w:rPr>
              <w:t>9,8</w:t>
            </w:r>
          </w:p>
        </w:tc>
        <w:tc>
          <w:tcPr>
            <w:tcW w:w="886" w:type="pct"/>
            <w:vAlign w:val="center"/>
          </w:tcPr>
          <w:p w:rsidR="000C53AC" w:rsidRPr="000C53AC" w:rsidRDefault="000C53AC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0C53AC">
              <w:rPr>
                <w:b/>
                <w:kern w:val="24"/>
                <w:sz w:val="22"/>
                <w:szCs w:val="22"/>
              </w:rPr>
              <w:t>7,6</w:t>
            </w:r>
          </w:p>
        </w:tc>
        <w:tc>
          <w:tcPr>
            <w:tcW w:w="1391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18/46</w:t>
            </w:r>
          </w:p>
        </w:tc>
      </w:tr>
      <w:tr w:rsidR="000C53AC" w:rsidRPr="00AE29EC" w:rsidTr="000C53AC">
        <w:trPr>
          <w:jc w:val="center"/>
        </w:trPr>
        <w:tc>
          <w:tcPr>
            <w:tcW w:w="626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3</w:t>
            </w:r>
          </w:p>
        </w:tc>
        <w:tc>
          <w:tcPr>
            <w:tcW w:w="968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1128" w:type="pct"/>
            <w:vAlign w:val="center"/>
          </w:tcPr>
          <w:p w:rsidR="000C53AC" w:rsidRPr="000C53AC" w:rsidRDefault="000C53AC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0C53AC">
              <w:rPr>
                <w:b/>
                <w:kern w:val="24"/>
                <w:sz w:val="22"/>
                <w:szCs w:val="22"/>
              </w:rPr>
              <w:t>10,6</w:t>
            </w:r>
          </w:p>
        </w:tc>
        <w:tc>
          <w:tcPr>
            <w:tcW w:w="886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2,7</w:t>
            </w:r>
          </w:p>
        </w:tc>
        <w:tc>
          <w:tcPr>
            <w:tcW w:w="1391" w:type="pct"/>
            <w:vAlign w:val="center"/>
          </w:tcPr>
          <w:p w:rsidR="000C53AC" w:rsidRPr="00AE29EC" w:rsidRDefault="000C53AC" w:rsidP="00CB0717">
            <w:pPr>
              <w:spacing w:line="276" w:lineRule="auto"/>
              <w:jc w:val="center"/>
              <w:outlineLvl w:val="0"/>
              <w:rPr>
                <w:kern w:val="24"/>
                <w:sz w:val="22"/>
                <w:szCs w:val="22"/>
                <w:lang w:eastAsia="en-US"/>
              </w:rPr>
            </w:pPr>
            <w:r>
              <w:rPr>
                <w:kern w:val="24"/>
                <w:sz w:val="22"/>
                <w:szCs w:val="22"/>
                <w:lang w:eastAsia="en-US"/>
              </w:rPr>
              <w:t>11/40</w:t>
            </w:r>
          </w:p>
        </w:tc>
      </w:tr>
      <w:tr w:rsidR="000C53AC" w:rsidRPr="00AE29EC" w:rsidTr="000C53AC">
        <w:trPr>
          <w:jc w:val="center"/>
        </w:trPr>
        <w:tc>
          <w:tcPr>
            <w:tcW w:w="626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</w:rPr>
            </w:pPr>
            <w:r w:rsidRPr="00AE29EC">
              <w:rPr>
                <w:kern w:val="24"/>
              </w:rPr>
              <w:t>4</w:t>
            </w:r>
          </w:p>
        </w:tc>
        <w:tc>
          <w:tcPr>
            <w:tcW w:w="968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4,4</w:t>
            </w:r>
          </w:p>
        </w:tc>
        <w:tc>
          <w:tcPr>
            <w:tcW w:w="1128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3,6</w:t>
            </w:r>
          </w:p>
        </w:tc>
        <w:tc>
          <w:tcPr>
            <w:tcW w:w="886" w:type="pct"/>
            <w:vAlign w:val="center"/>
          </w:tcPr>
          <w:p w:rsidR="000C53AC" w:rsidRPr="00AE29EC" w:rsidRDefault="000C53AC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2,9</w:t>
            </w:r>
          </w:p>
        </w:tc>
        <w:tc>
          <w:tcPr>
            <w:tcW w:w="1391" w:type="pct"/>
            <w:vAlign w:val="center"/>
          </w:tcPr>
          <w:p w:rsidR="000C53AC" w:rsidRPr="00AE29EC" w:rsidRDefault="000C53AC" w:rsidP="00CB0717">
            <w:pPr>
              <w:spacing w:line="276" w:lineRule="auto"/>
              <w:jc w:val="center"/>
              <w:outlineLvl w:val="0"/>
              <w:rPr>
                <w:kern w:val="24"/>
                <w:sz w:val="22"/>
                <w:szCs w:val="22"/>
                <w:lang w:eastAsia="en-US"/>
              </w:rPr>
            </w:pPr>
            <w:r>
              <w:rPr>
                <w:kern w:val="24"/>
                <w:sz w:val="22"/>
                <w:szCs w:val="22"/>
                <w:lang w:eastAsia="en-US"/>
              </w:rPr>
              <w:t>11/39</w:t>
            </w:r>
          </w:p>
        </w:tc>
      </w:tr>
    </w:tbl>
    <w:p w:rsidR="0040787A" w:rsidRDefault="0040787A" w:rsidP="0040787A">
      <w:pPr>
        <w:ind w:firstLine="567"/>
        <w:rPr>
          <w:b/>
          <w:u w:val="single"/>
        </w:rPr>
      </w:pPr>
    </w:p>
    <w:p w:rsidR="0040787A" w:rsidRDefault="0040787A" w:rsidP="0040787A">
      <w:pPr>
        <w:ind w:firstLine="567"/>
        <w:rPr>
          <w:b/>
          <w:u w:val="single"/>
        </w:rPr>
      </w:pPr>
      <w:r>
        <w:rPr>
          <w:b/>
          <w:u w:val="single"/>
        </w:rPr>
        <w:t>Выводы и рекомендации:</w:t>
      </w:r>
    </w:p>
    <w:p w:rsidR="0040787A" w:rsidRDefault="0040787A" w:rsidP="0040787A">
      <w:pPr>
        <w:ind w:firstLine="709"/>
        <w:jc w:val="both"/>
      </w:pPr>
      <w:r>
        <w:t xml:space="preserve">1. </w:t>
      </w:r>
      <w:r w:rsidR="007B2BAA">
        <w:t xml:space="preserve"> </w:t>
      </w:r>
      <w:r>
        <w:t>Состояние насоса – удовлетворительное, двигателя – плохое.</w:t>
      </w:r>
    </w:p>
    <w:p w:rsidR="000C53AC" w:rsidRDefault="007B2BAA" w:rsidP="0040787A">
      <w:pPr>
        <w:ind w:firstLine="709"/>
        <w:jc w:val="both"/>
      </w:pPr>
      <w:r>
        <w:t xml:space="preserve">2. </w:t>
      </w:r>
      <w:r w:rsidR="0040787A">
        <w:t xml:space="preserve">Возможные неисправности: </w:t>
      </w:r>
      <w:r w:rsidR="000C53AC">
        <w:t>ослаблена посадка  подшипников двигателя, нарушение компенсирующих свойств соединительной муфты</w:t>
      </w:r>
    </w:p>
    <w:p w:rsidR="0040787A" w:rsidRDefault="000C53AC" w:rsidP="000C53AC">
      <w:pPr>
        <w:jc w:val="both"/>
      </w:pPr>
      <w:r>
        <w:t xml:space="preserve">            </w:t>
      </w:r>
      <w:r w:rsidR="0040787A">
        <w:t xml:space="preserve">3. </w:t>
      </w:r>
      <w:r w:rsidR="007B2BAA">
        <w:t xml:space="preserve"> </w:t>
      </w:r>
      <w:r w:rsidR="0040787A">
        <w:t xml:space="preserve">Рекомендуется: провести </w:t>
      </w:r>
      <w:r w:rsidR="007B2BAA">
        <w:t>ремонт двигателя и муфтового соединения, проверить центровку.</w:t>
      </w:r>
    </w:p>
    <w:p w:rsidR="0040787A" w:rsidRDefault="0040787A" w:rsidP="0040787A">
      <w:pPr>
        <w:ind w:firstLine="567"/>
        <w:rPr>
          <w:b/>
          <w:u w:val="single"/>
        </w:rPr>
      </w:pPr>
    </w:p>
    <w:p w:rsidR="007B2BAA" w:rsidRDefault="007B2BAA" w:rsidP="0040787A">
      <w:pPr>
        <w:ind w:firstLine="851"/>
        <w:jc w:val="both"/>
        <w:rPr>
          <w:b/>
        </w:rPr>
      </w:pPr>
    </w:p>
    <w:p w:rsidR="00097F2F" w:rsidRDefault="00097F2F" w:rsidP="0040787A">
      <w:pPr>
        <w:ind w:firstLine="851"/>
        <w:jc w:val="both"/>
        <w:rPr>
          <w:b/>
          <w:u w:val="single"/>
        </w:rPr>
      </w:pPr>
    </w:p>
    <w:p w:rsidR="000C1E29" w:rsidRDefault="000C1E29" w:rsidP="000C1E29">
      <w:pPr>
        <w:suppressAutoHyphens/>
        <w:ind w:firstLine="709"/>
        <w:jc w:val="both"/>
        <w:outlineLvl w:val="0"/>
        <w:rPr>
          <w:kern w:val="24"/>
        </w:rPr>
      </w:pPr>
      <w:r>
        <w:rPr>
          <w:kern w:val="24"/>
        </w:rPr>
        <w:t>Измерение вибрации дымо</w:t>
      </w:r>
      <w:r w:rsidRPr="00FE5EAC">
        <w:rPr>
          <w:kern w:val="24"/>
        </w:rPr>
        <w:t>сосов выполнено в контрольных точках: 1 – свободный подшипник двигателя; 2 – подшипник двигателя от муфты</w:t>
      </w:r>
      <w:r>
        <w:rPr>
          <w:kern w:val="24"/>
        </w:rPr>
        <w:t xml:space="preserve"> или рабочего колеса</w:t>
      </w:r>
      <w:r w:rsidRPr="00FE5EAC">
        <w:rPr>
          <w:kern w:val="24"/>
        </w:rPr>
        <w:t>; 3 – подшипник</w:t>
      </w:r>
      <w:r>
        <w:rPr>
          <w:kern w:val="24"/>
        </w:rPr>
        <w:t xml:space="preserve"> редуктора со стороны муфты</w:t>
      </w:r>
      <w:r w:rsidRPr="00FE5EAC">
        <w:rPr>
          <w:kern w:val="24"/>
        </w:rPr>
        <w:t>; 4 – подшипник</w:t>
      </w:r>
      <w:r>
        <w:rPr>
          <w:kern w:val="24"/>
        </w:rPr>
        <w:t xml:space="preserve"> редуктора со стороны рабочего колеса.</w:t>
      </w:r>
    </w:p>
    <w:p w:rsidR="00097F2F" w:rsidRDefault="00097F2F" w:rsidP="00097F2F">
      <w:pPr>
        <w:ind w:firstLine="851"/>
        <w:jc w:val="both"/>
        <w:rPr>
          <w:b/>
          <w:u w:val="single"/>
        </w:rPr>
      </w:pPr>
    </w:p>
    <w:p w:rsidR="000C1E29" w:rsidRDefault="00097F2F" w:rsidP="0040787A">
      <w:pPr>
        <w:ind w:firstLine="851"/>
        <w:jc w:val="both"/>
        <w:rPr>
          <w:b/>
          <w:u w:val="single"/>
        </w:rPr>
      </w:pPr>
      <w:r w:rsidRPr="007B2BAA">
        <w:rPr>
          <w:b/>
          <w:u w:val="single"/>
        </w:rPr>
        <w:t>Дымосос №1</w:t>
      </w:r>
      <w:r>
        <w:rPr>
          <w:b/>
          <w:u w:val="single"/>
        </w:rPr>
        <w:t xml:space="preserve"> Тип Д-12 (730об/мин).</w:t>
      </w:r>
    </w:p>
    <w:p w:rsidR="000C1E29" w:rsidRDefault="000C1E29" w:rsidP="0040787A">
      <w:pPr>
        <w:ind w:firstLine="851"/>
        <w:jc w:val="both"/>
        <w:rPr>
          <w:b/>
          <w:u w:val="single"/>
        </w:rPr>
      </w:pP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2"/>
        <w:gridCol w:w="1986"/>
        <w:gridCol w:w="2690"/>
        <w:gridCol w:w="2409"/>
      </w:tblGrid>
      <w:tr w:rsidR="000C1E29" w:rsidRPr="00175945" w:rsidTr="00CB0717">
        <w:trPr>
          <w:jc w:val="center"/>
        </w:trPr>
        <w:tc>
          <w:tcPr>
            <w:tcW w:w="557" w:type="pct"/>
            <w:vMerge w:val="restar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Точка</w:t>
            </w:r>
          </w:p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proofErr w:type="spellStart"/>
            <w:proofErr w:type="gramStart"/>
            <w:r w:rsidRPr="00175945">
              <w:rPr>
                <w:kern w:val="24"/>
              </w:rPr>
              <w:t>измере</w:t>
            </w:r>
            <w:r>
              <w:rPr>
                <w:kern w:val="24"/>
              </w:rPr>
              <w:t>-</w:t>
            </w:r>
            <w:r w:rsidRPr="00175945">
              <w:rPr>
                <w:kern w:val="24"/>
              </w:rPr>
              <w:t>ния</w:t>
            </w:r>
            <w:proofErr w:type="spellEnd"/>
            <w:proofErr w:type="gramEnd"/>
          </w:p>
        </w:tc>
        <w:tc>
          <w:tcPr>
            <w:tcW w:w="3225" w:type="pct"/>
            <w:gridSpan w:val="3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Среднеквадратичное значение виброскорости</w:t>
            </w:r>
          </w:p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(</w:t>
            </w:r>
            <w:proofErr w:type="gramStart"/>
            <w:r w:rsidRPr="00175945">
              <w:rPr>
                <w:kern w:val="24"/>
              </w:rPr>
              <w:t>мм</w:t>
            </w:r>
            <w:proofErr w:type="gramEnd"/>
            <w:r w:rsidRPr="00175945">
              <w:rPr>
                <w:kern w:val="24"/>
              </w:rPr>
              <w:t>/с), для направлений измерения,</w:t>
            </w:r>
          </w:p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частотный диапазон 10…10</w:t>
            </w:r>
            <w:r w:rsidRPr="00175945">
              <w:rPr>
                <w:kern w:val="24"/>
                <w:lang w:val="en-US"/>
              </w:rPr>
              <w:t>0</w:t>
            </w:r>
            <w:r w:rsidRPr="00175945">
              <w:rPr>
                <w:kern w:val="24"/>
              </w:rPr>
              <w:t>0 Гц</w:t>
            </w:r>
          </w:p>
        </w:tc>
        <w:tc>
          <w:tcPr>
            <w:tcW w:w="1218" w:type="pct"/>
            <w:vMerge w:val="restar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proofErr w:type="spellStart"/>
            <w:r w:rsidRPr="00175945">
              <w:rPr>
                <w:kern w:val="24"/>
              </w:rPr>
              <w:t>Виброускорение</w:t>
            </w:r>
            <w:proofErr w:type="spellEnd"/>
          </w:p>
          <w:p w:rsidR="000C1E29" w:rsidRPr="00175945" w:rsidRDefault="000C1E29" w:rsidP="00CB0717">
            <w:pPr>
              <w:jc w:val="center"/>
              <w:outlineLvl w:val="0"/>
              <w:rPr>
                <w:kern w:val="24"/>
                <w:vertAlign w:val="superscript"/>
              </w:rPr>
            </w:pPr>
            <w:proofErr w:type="spellStart"/>
            <w:r w:rsidRPr="00175945">
              <w:rPr>
                <w:kern w:val="24"/>
              </w:rPr>
              <w:t>а</w:t>
            </w:r>
            <w:r w:rsidRPr="00175945">
              <w:rPr>
                <w:kern w:val="24"/>
                <w:vertAlign w:val="subscript"/>
              </w:rPr>
              <w:t>скз</w:t>
            </w:r>
            <w:proofErr w:type="spellEnd"/>
            <w:r w:rsidRPr="00175945">
              <w:rPr>
                <w:kern w:val="24"/>
              </w:rPr>
              <w:t>/</w:t>
            </w:r>
            <w:proofErr w:type="spellStart"/>
            <w:r w:rsidRPr="00175945">
              <w:rPr>
                <w:kern w:val="24"/>
              </w:rPr>
              <w:t>а</w:t>
            </w:r>
            <w:r w:rsidRPr="00175945">
              <w:rPr>
                <w:kern w:val="24"/>
                <w:vertAlign w:val="subscript"/>
              </w:rPr>
              <w:t>пик</w:t>
            </w:r>
            <w:proofErr w:type="spellEnd"/>
            <w:r w:rsidRPr="00175945">
              <w:rPr>
                <w:kern w:val="24"/>
              </w:rPr>
              <w:t>, м/с</w:t>
            </w:r>
            <w:proofErr w:type="gramStart"/>
            <w:r w:rsidRPr="00175945">
              <w:rPr>
                <w:kern w:val="24"/>
                <w:vertAlign w:val="superscript"/>
              </w:rPr>
              <w:t>2</w:t>
            </w:r>
            <w:proofErr w:type="gramEnd"/>
          </w:p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частотный диапазон 10…5000 Гц</w:t>
            </w:r>
          </w:p>
        </w:tc>
      </w:tr>
      <w:tr w:rsidR="000C1E29" w:rsidRPr="00175945" w:rsidTr="00CB0717">
        <w:trPr>
          <w:jc w:val="center"/>
        </w:trPr>
        <w:tc>
          <w:tcPr>
            <w:tcW w:w="557" w:type="pct"/>
            <w:vMerge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</w:p>
        </w:tc>
        <w:tc>
          <w:tcPr>
            <w:tcW w:w="861" w:type="pc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Вертикальное</w:t>
            </w:r>
          </w:p>
        </w:tc>
        <w:tc>
          <w:tcPr>
            <w:tcW w:w="1004" w:type="pc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Горизонтальное</w:t>
            </w:r>
          </w:p>
        </w:tc>
        <w:tc>
          <w:tcPr>
            <w:tcW w:w="1360" w:type="pc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Осевое</w:t>
            </w:r>
          </w:p>
        </w:tc>
        <w:tc>
          <w:tcPr>
            <w:tcW w:w="1218" w:type="pct"/>
            <w:vMerge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</w:p>
        </w:tc>
      </w:tr>
      <w:tr w:rsidR="000C1E29" w:rsidRPr="000B6CBF" w:rsidTr="00CB0717">
        <w:trPr>
          <w:jc w:val="center"/>
        </w:trPr>
        <w:tc>
          <w:tcPr>
            <w:tcW w:w="557" w:type="pc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1</w:t>
            </w:r>
          </w:p>
        </w:tc>
        <w:tc>
          <w:tcPr>
            <w:tcW w:w="861" w:type="pct"/>
            <w:vAlign w:val="center"/>
          </w:tcPr>
          <w:p w:rsidR="000C1E29" w:rsidRPr="00EE0F7D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2,5</w:t>
            </w:r>
          </w:p>
        </w:tc>
        <w:tc>
          <w:tcPr>
            <w:tcW w:w="1004" w:type="pct"/>
            <w:vAlign w:val="center"/>
          </w:tcPr>
          <w:p w:rsidR="000C1E29" w:rsidRPr="000B6CBF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1,75</w:t>
            </w:r>
          </w:p>
        </w:tc>
        <w:tc>
          <w:tcPr>
            <w:tcW w:w="1360" w:type="pct"/>
            <w:vAlign w:val="center"/>
          </w:tcPr>
          <w:p w:rsidR="000C1E29" w:rsidRPr="000B6CBF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1218" w:type="pct"/>
            <w:vAlign w:val="center"/>
          </w:tcPr>
          <w:p w:rsidR="000C1E29" w:rsidRPr="000B6CBF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5,5/30</w:t>
            </w:r>
          </w:p>
        </w:tc>
      </w:tr>
      <w:tr w:rsidR="000C1E29" w:rsidRPr="00A27B39" w:rsidTr="00CB0717">
        <w:trPr>
          <w:jc w:val="center"/>
        </w:trPr>
        <w:tc>
          <w:tcPr>
            <w:tcW w:w="557" w:type="pc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2</w:t>
            </w:r>
          </w:p>
        </w:tc>
        <w:tc>
          <w:tcPr>
            <w:tcW w:w="861" w:type="pct"/>
            <w:vAlign w:val="center"/>
          </w:tcPr>
          <w:p w:rsidR="000C1E29" w:rsidRPr="000B6CBF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3,0</w:t>
            </w:r>
          </w:p>
        </w:tc>
        <w:tc>
          <w:tcPr>
            <w:tcW w:w="1004" w:type="pct"/>
            <w:vAlign w:val="center"/>
          </w:tcPr>
          <w:p w:rsidR="000C1E29" w:rsidRPr="000B6CBF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1,42</w:t>
            </w:r>
          </w:p>
        </w:tc>
        <w:tc>
          <w:tcPr>
            <w:tcW w:w="1360" w:type="pct"/>
            <w:vAlign w:val="center"/>
          </w:tcPr>
          <w:p w:rsidR="000C1E29" w:rsidRPr="000B6CBF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3,86</w:t>
            </w:r>
          </w:p>
        </w:tc>
        <w:tc>
          <w:tcPr>
            <w:tcW w:w="1218" w:type="pct"/>
            <w:vAlign w:val="center"/>
          </w:tcPr>
          <w:p w:rsidR="000C1E29" w:rsidRPr="00A27B39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A27B39">
              <w:rPr>
                <w:kern w:val="24"/>
                <w:sz w:val="22"/>
                <w:szCs w:val="22"/>
              </w:rPr>
              <w:t>6,4</w:t>
            </w:r>
            <w:r>
              <w:rPr>
                <w:kern w:val="24"/>
                <w:sz w:val="22"/>
                <w:szCs w:val="22"/>
              </w:rPr>
              <w:t>/31</w:t>
            </w:r>
          </w:p>
        </w:tc>
      </w:tr>
      <w:tr w:rsidR="000C1E29" w:rsidRPr="00A27B39" w:rsidTr="00CB0717">
        <w:trPr>
          <w:jc w:val="center"/>
        </w:trPr>
        <w:tc>
          <w:tcPr>
            <w:tcW w:w="557" w:type="pc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3</w:t>
            </w:r>
          </w:p>
        </w:tc>
        <w:tc>
          <w:tcPr>
            <w:tcW w:w="861" w:type="pct"/>
            <w:vAlign w:val="center"/>
          </w:tcPr>
          <w:p w:rsidR="000C1E29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2,0</w:t>
            </w:r>
          </w:p>
        </w:tc>
        <w:tc>
          <w:tcPr>
            <w:tcW w:w="1004" w:type="pct"/>
            <w:vAlign w:val="center"/>
          </w:tcPr>
          <w:p w:rsidR="000C1E29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2,99</w:t>
            </w:r>
          </w:p>
        </w:tc>
        <w:tc>
          <w:tcPr>
            <w:tcW w:w="1360" w:type="pct"/>
            <w:vAlign w:val="center"/>
          </w:tcPr>
          <w:p w:rsidR="000C1E29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2,4</w:t>
            </w:r>
          </w:p>
        </w:tc>
        <w:tc>
          <w:tcPr>
            <w:tcW w:w="1218" w:type="pct"/>
            <w:vAlign w:val="center"/>
          </w:tcPr>
          <w:p w:rsidR="000C1E29" w:rsidRPr="00A27B39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7,3/29</w:t>
            </w:r>
          </w:p>
        </w:tc>
      </w:tr>
      <w:tr w:rsidR="000C1E29" w:rsidRPr="00A27B39" w:rsidTr="00CB0717">
        <w:trPr>
          <w:jc w:val="center"/>
        </w:trPr>
        <w:tc>
          <w:tcPr>
            <w:tcW w:w="557" w:type="pct"/>
            <w:vAlign w:val="center"/>
          </w:tcPr>
          <w:p w:rsidR="000C1E29" w:rsidRPr="00175945" w:rsidRDefault="000C1E29" w:rsidP="00CB0717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861" w:type="pct"/>
            <w:vAlign w:val="center"/>
          </w:tcPr>
          <w:p w:rsidR="000C1E29" w:rsidRPr="00743073" w:rsidRDefault="000C1E29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743073">
              <w:rPr>
                <w:b/>
                <w:kern w:val="24"/>
                <w:sz w:val="22"/>
                <w:szCs w:val="22"/>
              </w:rPr>
              <w:t>2,7</w:t>
            </w:r>
          </w:p>
        </w:tc>
        <w:tc>
          <w:tcPr>
            <w:tcW w:w="1004" w:type="pct"/>
            <w:vAlign w:val="center"/>
          </w:tcPr>
          <w:p w:rsidR="000C1E29" w:rsidRPr="00743073" w:rsidRDefault="000C1E29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743073">
              <w:rPr>
                <w:b/>
                <w:kern w:val="24"/>
                <w:sz w:val="22"/>
                <w:szCs w:val="22"/>
              </w:rPr>
              <w:t>3,7</w:t>
            </w:r>
          </w:p>
        </w:tc>
        <w:tc>
          <w:tcPr>
            <w:tcW w:w="1360" w:type="pct"/>
            <w:vAlign w:val="center"/>
          </w:tcPr>
          <w:p w:rsidR="000C1E29" w:rsidRPr="00743073" w:rsidRDefault="000C1E29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743073">
              <w:rPr>
                <w:b/>
                <w:kern w:val="24"/>
                <w:sz w:val="22"/>
                <w:szCs w:val="22"/>
              </w:rPr>
              <w:t>3,9</w:t>
            </w:r>
          </w:p>
        </w:tc>
        <w:tc>
          <w:tcPr>
            <w:tcW w:w="1218" w:type="pct"/>
            <w:vAlign w:val="center"/>
          </w:tcPr>
          <w:p w:rsidR="000C1E29" w:rsidRPr="00A27B39" w:rsidRDefault="000C1E29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6,8/11,5</w:t>
            </w:r>
          </w:p>
        </w:tc>
      </w:tr>
    </w:tbl>
    <w:p w:rsidR="000C1E29" w:rsidRDefault="000C1E29" w:rsidP="0040787A">
      <w:pPr>
        <w:ind w:firstLine="851"/>
        <w:jc w:val="both"/>
        <w:rPr>
          <w:b/>
          <w:u w:val="single"/>
        </w:rPr>
      </w:pPr>
    </w:p>
    <w:p w:rsidR="00097F2F" w:rsidRDefault="00097F2F" w:rsidP="00097F2F">
      <w:pPr>
        <w:rPr>
          <w:b/>
          <w:u w:val="single"/>
        </w:rPr>
      </w:pPr>
      <w:r>
        <w:t xml:space="preserve">                 </w:t>
      </w:r>
      <w:r w:rsidRPr="00C045AA">
        <w:rPr>
          <w:b/>
          <w:u w:val="single"/>
        </w:rPr>
        <w:t>Выводы и рекомендации:</w:t>
      </w:r>
    </w:p>
    <w:p w:rsidR="00C61E4C" w:rsidRDefault="00C61E4C" w:rsidP="00097F2F">
      <w:pPr>
        <w:rPr>
          <w:b/>
          <w:u w:val="single"/>
        </w:rPr>
      </w:pPr>
    </w:p>
    <w:p w:rsidR="00097F2F" w:rsidRDefault="00C61E4C" w:rsidP="00097F2F">
      <w:pPr>
        <w:pStyle w:val="a4"/>
        <w:numPr>
          <w:ilvl w:val="0"/>
          <w:numId w:val="3"/>
        </w:numPr>
      </w:pPr>
      <w:r>
        <w:t xml:space="preserve">Состояние </w:t>
      </w:r>
      <w:r w:rsidR="00400507">
        <w:t xml:space="preserve"> удовлетворительное</w:t>
      </w:r>
      <w:r>
        <w:t>.</w:t>
      </w:r>
    </w:p>
    <w:p w:rsidR="00097F2F" w:rsidRDefault="00097F2F" w:rsidP="00097F2F">
      <w:pPr>
        <w:pStyle w:val="a4"/>
        <w:numPr>
          <w:ilvl w:val="0"/>
          <w:numId w:val="3"/>
        </w:numPr>
      </w:pPr>
      <w:r>
        <w:t xml:space="preserve">Возможные неисправности: повреждение подшипника редуктора со стороны рабочего колеса, повреждение посадочных мест. </w:t>
      </w:r>
    </w:p>
    <w:p w:rsidR="00097F2F" w:rsidRPr="007A13EA" w:rsidRDefault="00097F2F" w:rsidP="00097F2F">
      <w:pPr>
        <w:pStyle w:val="a4"/>
        <w:numPr>
          <w:ilvl w:val="0"/>
          <w:numId w:val="3"/>
        </w:numPr>
      </w:pPr>
      <w:r>
        <w:t>Рекомендуется провести ревизию подшипников при неполной разборке – подняв крышку редуктора дымососа.</w:t>
      </w:r>
    </w:p>
    <w:p w:rsidR="007B2BAA" w:rsidRDefault="007B2BAA" w:rsidP="0040787A">
      <w:pPr>
        <w:ind w:firstLine="851"/>
        <w:jc w:val="both"/>
        <w:rPr>
          <w:b/>
          <w:u w:val="single"/>
        </w:rPr>
      </w:pPr>
    </w:p>
    <w:p w:rsidR="00097F2F" w:rsidRDefault="00097F2F" w:rsidP="00097F2F">
      <w:pPr>
        <w:suppressAutoHyphens/>
        <w:ind w:firstLine="709"/>
        <w:jc w:val="both"/>
        <w:outlineLvl w:val="0"/>
        <w:rPr>
          <w:b/>
          <w:u w:val="single"/>
        </w:rPr>
      </w:pPr>
      <w:r>
        <w:t xml:space="preserve">   </w:t>
      </w:r>
      <w:r>
        <w:rPr>
          <w:b/>
          <w:u w:val="single"/>
        </w:rPr>
        <w:t xml:space="preserve">Дымосос №2  Д-12 (730 </w:t>
      </w:r>
      <w:proofErr w:type="gramStart"/>
      <w:r>
        <w:rPr>
          <w:b/>
          <w:u w:val="single"/>
        </w:rPr>
        <w:t>об</w:t>
      </w:r>
      <w:proofErr w:type="gramEnd"/>
      <w:r>
        <w:rPr>
          <w:b/>
          <w:u w:val="single"/>
        </w:rPr>
        <w:t>/мин).</w:t>
      </w:r>
    </w:p>
    <w:p w:rsidR="00097F2F" w:rsidRPr="00007BC6" w:rsidRDefault="00097F2F" w:rsidP="00097F2F">
      <w:pPr>
        <w:ind w:firstLine="851"/>
        <w:jc w:val="both"/>
        <w:rPr>
          <w:sz w:val="16"/>
          <w:szCs w:val="16"/>
        </w:rPr>
      </w:pP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2"/>
        <w:gridCol w:w="1986"/>
        <w:gridCol w:w="2690"/>
        <w:gridCol w:w="2409"/>
      </w:tblGrid>
      <w:tr w:rsidR="00097F2F" w:rsidRPr="00175945" w:rsidTr="00CB0717">
        <w:trPr>
          <w:jc w:val="center"/>
        </w:trPr>
        <w:tc>
          <w:tcPr>
            <w:tcW w:w="557" w:type="pct"/>
            <w:vMerge w:val="restar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Точка</w:t>
            </w:r>
          </w:p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proofErr w:type="spellStart"/>
            <w:proofErr w:type="gramStart"/>
            <w:r w:rsidRPr="00175945">
              <w:rPr>
                <w:kern w:val="24"/>
              </w:rPr>
              <w:t>измере</w:t>
            </w:r>
            <w:r>
              <w:rPr>
                <w:kern w:val="24"/>
              </w:rPr>
              <w:t>-</w:t>
            </w:r>
            <w:r w:rsidRPr="00175945">
              <w:rPr>
                <w:kern w:val="24"/>
              </w:rPr>
              <w:t>ния</w:t>
            </w:r>
            <w:proofErr w:type="spellEnd"/>
            <w:proofErr w:type="gramEnd"/>
          </w:p>
        </w:tc>
        <w:tc>
          <w:tcPr>
            <w:tcW w:w="3225" w:type="pct"/>
            <w:gridSpan w:val="3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Среднеквадратичное значение виброскорости</w:t>
            </w:r>
          </w:p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(</w:t>
            </w:r>
            <w:proofErr w:type="gramStart"/>
            <w:r w:rsidRPr="00175945">
              <w:rPr>
                <w:kern w:val="24"/>
              </w:rPr>
              <w:t>мм</w:t>
            </w:r>
            <w:proofErr w:type="gramEnd"/>
            <w:r w:rsidRPr="00175945">
              <w:rPr>
                <w:kern w:val="24"/>
              </w:rPr>
              <w:t>/с), для направлений измерения,</w:t>
            </w:r>
          </w:p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частотный диапазон 10…10</w:t>
            </w:r>
            <w:r w:rsidRPr="00175945">
              <w:rPr>
                <w:kern w:val="24"/>
                <w:lang w:val="en-US"/>
              </w:rPr>
              <w:t>0</w:t>
            </w:r>
            <w:r w:rsidRPr="00175945">
              <w:rPr>
                <w:kern w:val="24"/>
              </w:rPr>
              <w:t>0 Гц</w:t>
            </w:r>
          </w:p>
        </w:tc>
        <w:tc>
          <w:tcPr>
            <w:tcW w:w="1218" w:type="pct"/>
            <w:vMerge w:val="restar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proofErr w:type="spellStart"/>
            <w:r w:rsidRPr="00175945">
              <w:rPr>
                <w:kern w:val="24"/>
              </w:rPr>
              <w:t>Виброускорение</w:t>
            </w:r>
            <w:proofErr w:type="spellEnd"/>
          </w:p>
          <w:p w:rsidR="00097F2F" w:rsidRPr="00175945" w:rsidRDefault="00097F2F" w:rsidP="00CB0717">
            <w:pPr>
              <w:jc w:val="center"/>
              <w:outlineLvl w:val="0"/>
              <w:rPr>
                <w:kern w:val="24"/>
                <w:vertAlign w:val="superscript"/>
              </w:rPr>
            </w:pPr>
            <w:proofErr w:type="spellStart"/>
            <w:r w:rsidRPr="00175945">
              <w:rPr>
                <w:kern w:val="24"/>
              </w:rPr>
              <w:t>а</w:t>
            </w:r>
            <w:r w:rsidRPr="00175945">
              <w:rPr>
                <w:kern w:val="24"/>
                <w:vertAlign w:val="subscript"/>
              </w:rPr>
              <w:t>скз</w:t>
            </w:r>
            <w:proofErr w:type="spellEnd"/>
            <w:r w:rsidRPr="00175945">
              <w:rPr>
                <w:kern w:val="24"/>
              </w:rPr>
              <w:t>/</w:t>
            </w:r>
            <w:proofErr w:type="spellStart"/>
            <w:r w:rsidRPr="00175945">
              <w:rPr>
                <w:kern w:val="24"/>
              </w:rPr>
              <w:t>а</w:t>
            </w:r>
            <w:r w:rsidRPr="00175945">
              <w:rPr>
                <w:kern w:val="24"/>
                <w:vertAlign w:val="subscript"/>
              </w:rPr>
              <w:t>пик</w:t>
            </w:r>
            <w:proofErr w:type="spellEnd"/>
            <w:r w:rsidRPr="00175945">
              <w:rPr>
                <w:kern w:val="24"/>
              </w:rPr>
              <w:t>, м/с</w:t>
            </w:r>
            <w:proofErr w:type="gramStart"/>
            <w:r w:rsidRPr="00175945">
              <w:rPr>
                <w:kern w:val="24"/>
                <w:vertAlign w:val="superscript"/>
              </w:rPr>
              <w:t>2</w:t>
            </w:r>
            <w:proofErr w:type="gramEnd"/>
          </w:p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частотный диапазон 10…5000 Гц</w:t>
            </w:r>
          </w:p>
        </w:tc>
      </w:tr>
      <w:tr w:rsidR="00097F2F" w:rsidRPr="00175945" w:rsidTr="00CB0717">
        <w:trPr>
          <w:jc w:val="center"/>
        </w:trPr>
        <w:tc>
          <w:tcPr>
            <w:tcW w:w="557" w:type="pct"/>
            <w:vMerge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</w:p>
        </w:tc>
        <w:tc>
          <w:tcPr>
            <w:tcW w:w="861" w:type="pc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Вертикальное</w:t>
            </w:r>
          </w:p>
        </w:tc>
        <w:tc>
          <w:tcPr>
            <w:tcW w:w="1004" w:type="pc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Горизонтальное</w:t>
            </w:r>
          </w:p>
        </w:tc>
        <w:tc>
          <w:tcPr>
            <w:tcW w:w="1360" w:type="pc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Осевое</w:t>
            </w:r>
          </w:p>
        </w:tc>
        <w:tc>
          <w:tcPr>
            <w:tcW w:w="1218" w:type="pct"/>
            <w:vMerge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</w:p>
        </w:tc>
      </w:tr>
      <w:tr w:rsidR="00097F2F" w:rsidRPr="004E2B6A" w:rsidTr="00CB0717">
        <w:trPr>
          <w:jc w:val="center"/>
        </w:trPr>
        <w:tc>
          <w:tcPr>
            <w:tcW w:w="557" w:type="pc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1</w:t>
            </w:r>
          </w:p>
        </w:tc>
        <w:tc>
          <w:tcPr>
            <w:tcW w:w="861" w:type="pct"/>
            <w:vAlign w:val="center"/>
          </w:tcPr>
          <w:p w:rsidR="00097F2F" w:rsidRPr="00EE0F7D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1,4</w:t>
            </w:r>
          </w:p>
        </w:tc>
        <w:tc>
          <w:tcPr>
            <w:tcW w:w="1004" w:type="pct"/>
            <w:vAlign w:val="center"/>
          </w:tcPr>
          <w:p w:rsidR="00097F2F" w:rsidRPr="000B6CBF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1,45</w:t>
            </w:r>
          </w:p>
        </w:tc>
        <w:tc>
          <w:tcPr>
            <w:tcW w:w="1360" w:type="pct"/>
            <w:vAlign w:val="center"/>
          </w:tcPr>
          <w:p w:rsidR="00097F2F" w:rsidRPr="000B6CBF" w:rsidRDefault="00097F2F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1218" w:type="pct"/>
            <w:vAlign w:val="center"/>
          </w:tcPr>
          <w:p w:rsidR="00097F2F" w:rsidRPr="000B6CBF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4,3/17</w:t>
            </w:r>
          </w:p>
        </w:tc>
      </w:tr>
      <w:tr w:rsidR="00097F2F" w:rsidRPr="00260C7A" w:rsidTr="00CB0717">
        <w:trPr>
          <w:jc w:val="center"/>
        </w:trPr>
        <w:tc>
          <w:tcPr>
            <w:tcW w:w="557" w:type="pc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2</w:t>
            </w:r>
          </w:p>
        </w:tc>
        <w:tc>
          <w:tcPr>
            <w:tcW w:w="861" w:type="pct"/>
            <w:vAlign w:val="center"/>
          </w:tcPr>
          <w:p w:rsidR="00097F2F" w:rsidRPr="000B6CBF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0,9</w:t>
            </w:r>
          </w:p>
        </w:tc>
        <w:tc>
          <w:tcPr>
            <w:tcW w:w="1004" w:type="pct"/>
            <w:vAlign w:val="center"/>
          </w:tcPr>
          <w:p w:rsidR="00097F2F" w:rsidRPr="000B6CBF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1,28</w:t>
            </w:r>
          </w:p>
        </w:tc>
        <w:tc>
          <w:tcPr>
            <w:tcW w:w="1360" w:type="pct"/>
            <w:vAlign w:val="center"/>
          </w:tcPr>
          <w:p w:rsidR="00097F2F" w:rsidRPr="000B6CBF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1,5</w:t>
            </w:r>
          </w:p>
        </w:tc>
        <w:tc>
          <w:tcPr>
            <w:tcW w:w="1218" w:type="pct"/>
            <w:vAlign w:val="center"/>
          </w:tcPr>
          <w:p w:rsidR="00097F2F" w:rsidRPr="00A27B39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4,6/18</w:t>
            </w:r>
          </w:p>
        </w:tc>
      </w:tr>
      <w:tr w:rsidR="00097F2F" w:rsidRPr="00260C7A" w:rsidTr="00CB0717">
        <w:trPr>
          <w:jc w:val="center"/>
        </w:trPr>
        <w:tc>
          <w:tcPr>
            <w:tcW w:w="557" w:type="pc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3</w:t>
            </w:r>
          </w:p>
        </w:tc>
        <w:tc>
          <w:tcPr>
            <w:tcW w:w="861" w:type="pct"/>
            <w:vAlign w:val="center"/>
          </w:tcPr>
          <w:p w:rsidR="00097F2F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1,23</w:t>
            </w:r>
          </w:p>
        </w:tc>
        <w:tc>
          <w:tcPr>
            <w:tcW w:w="1004" w:type="pct"/>
            <w:vAlign w:val="center"/>
          </w:tcPr>
          <w:p w:rsidR="00097F2F" w:rsidRPr="00400507" w:rsidRDefault="00400507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400507">
              <w:rPr>
                <w:b/>
                <w:kern w:val="24"/>
                <w:sz w:val="22"/>
                <w:szCs w:val="22"/>
              </w:rPr>
              <w:t>3,46</w:t>
            </w:r>
          </w:p>
        </w:tc>
        <w:tc>
          <w:tcPr>
            <w:tcW w:w="1360" w:type="pct"/>
            <w:vAlign w:val="center"/>
          </w:tcPr>
          <w:p w:rsidR="00097F2F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1,97</w:t>
            </w:r>
          </w:p>
        </w:tc>
        <w:tc>
          <w:tcPr>
            <w:tcW w:w="1218" w:type="pct"/>
            <w:vAlign w:val="center"/>
          </w:tcPr>
          <w:p w:rsidR="00097F2F" w:rsidRPr="00A27B39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4,3/17,8</w:t>
            </w:r>
          </w:p>
        </w:tc>
      </w:tr>
      <w:tr w:rsidR="00097F2F" w:rsidRPr="00260C7A" w:rsidTr="00CB0717">
        <w:trPr>
          <w:jc w:val="center"/>
        </w:trPr>
        <w:tc>
          <w:tcPr>
            <w:tcW w:w="557" w:type="pct"/>
            <w:vAlign w:val="center"/>
          </w:tcPr>
          <w:p w:rsidR="00097F2F" w:rsidRPr="00175945" w:rsidRDefault="00097F2F" w:rsidP="00CB0717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4</w:t>
            </w:r>
          </w:p>
        </w:tc>
        <w:tc>
          <w:tcPr>
            <w:tcW w:w="861" w:type="pct"/>
            <w:vAlign w:val="center"/>
          </w:tcPr>
          <w:p w:rsidR="00097F2F" w:rsidRPr="00400507" w:rsidRDefault="00400507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400507">
              <w:rPr>
                <w:b/>
                <w:kern w:val="24"/>
                <w:sz w:val="22"/>
                <w:szCs w:val="22"/>
              </w:rPr>
              <w:t>3,19</w:t>
            </w:r>
          </w:p>
        </w:tc>
        <w:tc>
          <w:tcPr>
            <w:tcW w:w="1004" w:type="pct"/>
            <w:vAlign w:val="center"/>
          </w:tcPr>
          <w:p w:rsidR="00097F2F" w:rsidRPr="00400507" w:rsidRDefault="00400507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400507">
              <w:rPr>
                <w:b/>
                <w:kern w:val="24"/>
                <w:sz w:val="22"/>
                <w:szCs w:val="22"/>
              </w:rPr>
              <w:t>3,5</w:t>
            </w:r>
          </w:p>
        </w:tc>
        <w:tc>
          <w:tcPr>
            <w:tcW w:w="1360" w:type="pct"/>
            <w:vAlign w:val="center"/>
          </w:tcPr>
          <w:p w:rsidR="00097F2F" w:rsidRPr="00400507" w:rsidRDefault="00400507" w:rsidP="00CB0717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400507">
              <w:rPr>
                <w:b/>
                <w:kern w:val="24"/>
                <w:sz w:val="22"/>
                <w:szCs w:val="22"/>
              </w:rPr>
              <w:t>2,18</w:t>
            </w:r>
          </w:p>
        </w:tc>
        <w:tc>
          <w:tcPr>
            <w:tcW w:w="1218" w:type="pct"/>
            <w:vAlign w:val="center"/>
          </w:tcPr>
          <w:p w:rsidR="00097F2F" w:rsidRPr="00A27B39" w:rsidRDefault="00400507" w:rsidP="00CB0717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3,8/12</w:t>
            </w:r>
          </w:p>
        </w:tc>
      </w:tr>
    </w:tbl>
    <w:p w:rsidR="007B2BAA" w:rsidRDefault="007B2BAA" w:rsidP="0040787A">
      <w:pPr>
        <w:ind w:firstLine="851"/>
        <w:jc w:val="both"/>
      </w:pPr>
    </w:p>
    <w:p w:rsidR="00400507" w:rsidRDefault="00400507" w:rsidP="0040787A">
      <w:pPr>
        <w:ind w:firstLine="851"/>
        <w:jc w:val="both"/>
      </w:pPr>
    </w:p>
    <w:p w:rsidR="00400507" w:rsidRDefault="00400507" w:rsidP="00400507">
      <w:pPr>
        <w:rPr>
          <w:b/>
          <w:u w:val="single"/>
        </w:rPr>
      </w:pPr>
      <w:r>
        <w:t xml:space="preserve">                 </w:t>
      </w:r>
      <w:r w:rsidRPr="00C045AA">
        <w:rPr>
          <w:b/>
          <w:u w:val="single"/>
        </w:rPr>
        <w:t>Выводы и рекомендации:</w:t>
      </w:r>
    </w:p>
    <w:p w:rsidR="00C61E4C" w:rsidRDefault="00C61E4C" w:rsidP="00400507">
      <w:pPr>
        <w:rPr>
          <w:b/>
          <w:u w:val="single"/>
        </w:rPr>
      </w:pPr>
    </w:p>
    <w:p w:rsidR="00400507" w:rsidRDefault="00400507" w:rsidP="00400507">
      <w:pPr>
        <w:pStyle w:val="a4"/>
        <w:numPr>
          <w:ilvl w:val="0"/>
          <w:numId w:val="4"/>
        </w:numPr>
      </w:pPr>
      <w:r>
        <w:t>Состояние удовлетворительное, повышенные значения виброскорости находятся в области оборотной частоты, что свидетельствует о наличии дисбаланса рабочего колеса.</w:t>
      </w:r>
    </w:p>
    <w:p w:rsidR="00400507" w:rsidRDefault="00400507" w:rsidP="00400507">
      <w:pPr>
        <w:pStyle w:val="a4"/>
        <w:numPr>
          <w:ilvl w:val="0"/>
          <w:numId w:val="4"/>
        </w:numPr>
      </w:pPr>
      <w:r>
        <w:t xml:space="preserve">Рекомендуется провести балансировку. </w:t>
      </w:r>
    </w:p>
    <w:p w:rsidR="00400507" w:rsidRPr="007B2BAA" w:rsidRDefault="00400507" w:rsidP="0040787A">
      <w:pPr>
        <w:ind w:firstLine="851"/>
        <w:jc w:val="both"/>
      </w:pPr>
    </w:p>
    <w:p w:rsidR="00DD56EF" w:rsidRDefault="00DD56EF" w:rsidP="00400507">
      <w:pPr>
        <w:ind w:left="1620"/>
        <w:jc w:val="both"/>
      </w:pPr>
    </w:p>
    <w:p w:rsidR="00400507" w:rsidRDefault="00400507" w:rsidP="00400507">
      <w:pPr>
        <w:jc w:val="both"/>
        <w:rPr>
          <w:b/>
        </w:rPr>
      </w:pPr>
    </w:p>
    <w:p w:rsidR="008A1109" w:rsidRDefault="008A1109" w:rsidP="008A1109">
      <w:pPr>
        <w:ind w:left="709"/>
        <w:rPr>
          <w:b/>
        </w:rPr>
      </w:pPr>
      <w:r>
        <w:rPr>
          <w:b/>
        </w:rPr>
        <w:t xml:space="preserve">                   </w:t>
      </w:r>
      <w:bookmarkStart w:id="0" w:name="_GoBack"/>
      <w:bookmarkEnd w:id="0"/>
    </w:p>
    <w:sectPr w:rsidR="008A1109" w:rsidSect="00235126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55C"/>
    <w:multiLevelType w:val="hybridMultilevel"/>
    <w:tmpl w:val="2E48C58A"/>
    <w:lvl w:ilvl="0" w:tplc="94DEAEB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38A00A03"/>
    <w:multiLevelType w:val="hybridMultilevel"/>
    <w:tmpl w:val="58E83E58"/>
    <w:lvl w:ilvl="0" w:tplc="1F8E02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51D07B9"/>
    <w:multiLevelType w:val="hybridMultilevel"/>
    <w:tmpl w:val="025E1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D12FF1"/>
    <w:multiLevelType w:val="hybridMultilevel"/>
    <w:tmpl w:val="EBFEED52"/>
    <w:lvl w:ilvl="0" w:tplc="FF786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F"/>
    <w:rsid w:val="00014064"/>
    <w:rsid w:val="0001590E"/>
    <w:rsid w:val="000962B9"/>
    <w:rsid w:val="00097F2F"/>
    <w:rsid w:val="000A4B57"/>
    <w:rsid w:val="000B6CBF"/>
    <w:rsid w:val="000C1E29"/>
    <w:rsid w:val="000C25A9"/>
    <w:rsid w:val="000C53AC"/>
    <w:rsid w:val="000E39AC"/>
    <w:rsid w:val="000E648B"/>
    <w:rsid w:val="0012453E"/>
    <w:rsid w:val="00185714"/>
    <w:rsid w:val="00204730"/>
    <w:rsid w:val="00235126"/>
    <w:rsid w:val="00283BC2"/>
    <w:rsid w:val="00287C4F"/>
    <w:rsid w:val="002C78F9"/>
    <w:rsid w:val="002D7714"/>
    <w:rsid w:val="0032302B"/>
    <w:rsid w:val="003877BB"/>
    <w:rsid w:val="00396E90"/>
    <w:rsid w:val="003B4AEA"/>
    <w:rsid w:val="003F0643"/>
    <w:rsid w:val="003F656A"/>
    <w:rsid w:val="00400507"/>
    <w:rsid w:val="004055DC"/>
    <w:rsid w:val="0040787A"/>
    <w:rsid w:val="00413890"/>
    <w:rsid w:val="00480370"/>
    <w:rsid w:val="00490C02"/>
    <w:rsid w:val="004A7730"/>
    <w:rsid w:val="004B03C0"/>
    <w:rsid w:val="004C32CE"/>
    <w:rsid w:val="004E08A4"/>
    <w:rsid w:val="004E48C3"/>
    <w:rsid w:val="004F3018"/>
    <w:rsid w:val="005652AF"/>
    <w:rsid w:val="005B4041"/>
    <w:rsid w:val="005C021F"/>
    <w:rsid w:val="00637094"/>
    <w:rsid w:val="00652908"/>
    <w:rsid w:val="006662A0"/>
    <w:rsid w:val="006C4BF4"/>
    <w:rsid w:val="006D69E7"/>
    <w:rsid w:val="006D7FB2"/>
    <w:rsid w:val="006F1359"/>
    <w:rsid w:val="00726520"/>
    <w:rsid w:val="00743073"/>
    <w:rsid w:val="007465D2"/>
    <w:rsid w:val="00757588"/>
    <w:rsid w:val="00765B9C"/>
    <w:rsid w:val="00767AD1"/>
    <w:rsid w:val="0077389B"/>
    <w:rsid w:val="007B2BAA"/>
    <w:rsid w:val="00804BD8"/>
    <w:rsid w:val="00880DD4"/>
    <w:rsid w:val="008A1109"/>
    <w:rsid w:val="008A6CD4"/>
    <w:rsid w:val="00911559"/>
    <w:rsid w:val="00921954"/>
    <w:rsid w:val="009464AF"/>
    <w:rsid w:val="009501D4"/>
    <w:rsid w:val="00971A94"/>
    <w:rsid w:val="009A02A5"/>
    <w:rsid w:val="00A2401D"/>
    <w:rsid w:val="00A34317"/>
    <w:rsid w:val="00A6086F"/>
    <w:rsid w:val="00A82DBF"/>
    <w:rsid w:val="00AA42A7"/>
    <w:rsid w:val="00AB11B4"/>
    <w:rsid w:val="00AB38A7"/>
    <w:rsid w:val="00AB5AB2"/>
    <w:rsid w:val="00AE11F3"/>
    <w:rsid w:val="00AE29EC"/>
    <w:rsid w:val="00B022DA"/>
    <w:rsid w:val="00B40227"/>
    <w:rsid w:val="00B439A7"/>
    <w:rsid w:val="00B6414C"/>
    <w:rsid w:val="00BF0B5F"/>
    <w:rsid w:val="00C04251"/>
    <w:rsid w:val="00C045AA"/>
    <w:rsid w:val="00C11F1B"/>
    <w:rsid w:val="00C30C68"/>
    <w:rsid w:val="00C61E4C"/>
    <w:rsid w:val="00CD5153"/>
    <w:rsid w:val="00CF5EEF"/>
    <w:rsid w:val="00D15BC8"/>
    <w:rsid w:val="00D249D3"/>
    <w:rsid w:val="00D537F4"/>
    <w:rsid w:val="00DD0A5D"/>
    <w:rsid w:val="00DD56EF"/>
    <w:rsid w:val="00DF01A0"/>
    <w:rsid w:val="00EA15AB"/>
    <w:rsid w:val="00EB5B88"/>
    <w:rsid w:val="00F47032"/>
    <w:rsid w:val="00F47E5A"/>
    <w:rsid w:val="00F65F7B"/>
    <w:rsid w:val="00F727F1"/>
    <w:rsid w:val="00FA1DA0"/>
    <w:rsid w:val="00FD72DB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87C4F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287C4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A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E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87C4F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287C4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A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E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C7F2-69C7-4949-B729-5ACF9D00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2017-10-30T08:19:00Z</cp:lastPrinted>
  <dcterms:created xsi:type="dcterms:W3CDTF">2018-03-01T13:22:00Z</dcterms:created>
  <dcterms:modified xsi:type="dcterms:W3CDTF">2018-03-01T13:22:00Z</dcterms:modified>
</cp:coreProperties>
</file>